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7A07D" w14:textId="3A7B6986" w:rsidR="00BD08D6" w:rsidRPr="009560AC" w:rsidRDefault="00B12749" w:rsidP="0EBC9C79">
      <w:pPr>
        <w:rPr>
          <w:b/>
          <w:color w:val="1F4E79" w:themeColor="accent1" w:themeShade="80"/>
          <w:sz w:val="32"/>
          <w:szCs w:val="32"/>
        </w:rPr>
      </w:pPr>
      <w:bookmarkStart w:id="0" w:name="_GoBack"/>
      <w:bookmarkEnd w:id="0"/>
      <w:r>
        <w:rPr>
          <w:b/>
          <w:noProof/>
          <w:color w:val="1F4E79" w:themeColor="accent1" w:themeShade="80"/>
          <w:sz w:val="32"/>
          <w:szCs w:val="32"/>
          <w:lang w:eastAsia="en-GB"/>
        </w:rPr>
        <w:drawing>
          <wp:inline distT="0" distB="0" distL="0" distR="0" wp14:anchorId="77716B1A" wp14:editId="2B641B63">
            <wp:extent cx="1237615" cy="123761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pic:spPr>
                </pic:pic>
              </a:graphicData>
            </a:graphic>
          </wp:inline>
        </w:drawing>
      </w:r>
      <w:r w:rsidR="00015B45">
        <w:rPr>
          <w:b/>
          <w:color w:val="1F4E79" w:themeColor="accent1" w:themeShade="80"/>
          <w:sz w:val="32"/>
          <w:szCs w:val="32"/>
        </w:rPr>
        <w:t>Alcohol Awareness Month</w:t>
      </w:r>
      <w:r>
        <w:rPr>
          <w:b/>
          <w:color w:val="1F4E79" w:themeColor="accent1" w:themeShade="80"/>
          <w:sz w:val="32"/>
          <w:szCs w:val="32"/>
        </w:rPr>
        <w:t xml:space="preserve"> </w:t>
      </w:r>
    </w:p>
    <w:p w14:paraId="17486437" w14:textId="1C871528" w:rsidR="00A57DC4" w:rsidRPr="00712E9F" w:rsidRDefault="00712E9F" w:rsidP="0EBC9C79">
      <w:pPr>
        <w:rPr>
          <w:bCs/>
          <w:color w:val="1F4E79" w:themeColor="accent1" w:themeShade="80"/>
          <w:sz w:val="24"/>
          <w:szCs w:val="24"/>
        </w:rPr>
      </w:pPr>
      <w:r>
        <w:rPr>
          <w:color w:val="1F4E79" w:themeColor="accent1" w:themeShade="80"/>
          <w:sz w:val="24"/>
          <w:szCs w:val="24"/>
        </w:rPr>
        <w:t>November is</w:t>
      </w:r>
      <w:r w:rsidR="00B2467F" w:rsidRPr="0EBC9C79">
        <w:rPr>
          <w:color w:val="1F4E79" w:themeColor="accent1" w:themeShade="80"/>
          <w:sz w:val="24"/>
          <w:szCs w:val="24"/>
        </w:rPr>
        <w:t xml:space="preserve"> </w:t>
      </w:r>
      <w:r>
        <w:rPr>
          <w:b/>
          <w:bCs/>
          <w:color w:val="1F4E79" w:themeColor="accent1" w:themeShade="80"/>
          <w:sz w:val="24"/>
          <w:szCs w:val="24"/>
        </w:rPr>
        <w:t xml:space="preserve">Alcohol Awareness Month </w:t>
      </w:r>
      <w:r w:rsidRPr="00712E9F">
        <w:rPr>
          <w:bCs/>
          <w:color w:val="1F4E79" w:themeColor="accent1" w:themeShade="80"/>
          <w:sz w:val="24"/>
          <w:szCs w:val="24"/>
        </w:rPr>
        <w:t>– a good time to consider your drinking habits.</w:t>
      </w:r>
    </w:p>
    <w:p w14:paraId="79648791" w14:textId="0B091AE7" w:rsidR="00633458" w:rsidRPr="00633458" w:rsidRDefault="00712E9F" w:rsidP="00633458">
      <w:pPr>
        <w:rPr>
          <w:b/>
        </w:rPr>
      </w:pPr>
      <w:r w:rsidRPr="00633458">
        <w:rPr>
          <w:b/>
          <w:color w:val="1F4E79" w:themeColor="accent1" w:themeShade="80"/>
          <w:sz w:val="24"/>
          <w:szCs w:val="24"/>
        </w:rPr>
        <w:t>Did you know?</w:t>
      </w:r>
      <w:r w:rsidR="00633458" w:rsidRPr="00633458">
        <w:rPr>
          <w:b/>
        </w:rPr>
        <w:t xml:space="preserve"> </w:t>
      </w:r>
    </w:p>
    <w:p w14:paraId="4C8E4C39" w14:textId="3C5FB2A9" w:rsidR="00633458" w:rsidRPr="00633458" w:rsidRDefault="00633458" w:rsidP="00633458">
      <w:pPr>
        <w:pStyle w:val="ListParagraph"/>
        <w:numPr>
          <w:ilvl w:val="0"/>
          <w:numId w:val="5"/>
        </w:numPr>
        <w:rPr>
          <w:color w:val="1F4E79" w:themeColor="accent1" w:themeShade="80"/>
          <w:sz w:val="24"/>
          <w:szCs w:val="24"/>
        </w:rPr>
      </w:pPr>
      <w:r w:rsidRPr="00633458">
        <w:rPr>
          <w:color w:val="1F4E79" w:themeColor="accent1" w:themeShade="80"/>
          <w:sz w:val="24"/>
          <w:szCs w:val="24"/>
        </w:rPr>
        <w:t>The NHS now advises that there is no 'safe' drinking level.</w:t>
      </w:r>
    </w:p>
    <w:p w14:paraId="0A0F1142" w14:textId="77777777" w:rsidR="00633458" w:rsidRPr="00633458" w:rsidRDefault="00633458" w:rsidP="00633458">
      <w:pPr>
        <w:pStyle w:val="ListParagraph"/>
        <w:numPr>
          <w:ilvl w:val="0"/>
          <w:numId w:val="5"/>
        </w:numPr>
        <w:rPr>
          <w:color w:val="1F4E79" w:themeColor="accent1" w:themeShade="80"/>
          <w:sz w:val="24"/>
          <w:szCs w:val="24"/>
        </w:rPr>
      </w:pPr>
      <w:r w:rsidRPr="00633458">
        <w:rPr>
          <w:color w:val="1F4E79" w:themeColor="accent1" w:themeShade="80"/>
          <w:sz w:val="24"/>
          <w:szCs w:val="24"/>
        </w:rPr>
        <w:t>If you drink less than 14 units a week, this is considered low-risk drinking.</w:t>
      </w:r>
    </w:p>
    <w:p w14:paraId="23C37B8E" w14:textId="45B88F87" w:rsidR="00633458" w:rsidRPr="00633458" w:rsidRDefault="00633458" w:rsidP="00633458">
      <w:pPr>
        <w:pStyle w:val="ListParagraph"/>
        <w:numPr>
          <w:ilvl w:val="0"/>
          <w:numId w:val="5"/>
        </w:numPr>
        <w:rPr>
          <w:color w:val="1F4E79" w:themeColor="accent1" w:themeShade="80"/>
          <w:sz w:val="24"/>
          <w:szCs w:val="24"/>
        </w:rPr>
      </w:pPr>
      <w:r w:rsidRPr="00633458">
        <w:rPr>
          <w:color w:val="1F4E79" w:themeColor="accent1" w:themeShade="80"/>
          <w:sz w:val="24"/>
          <w:szCs w:val="24"/>
        </w:rPr>
        <w:t>It's called "low risk" rather than "safe" because there's no safe drinking level.</w:t>
      </w:r>
    </w:p>
    <w:p w14:paraId="2DE2A5C1" w14:textId="75A586BC" w:rsidR="00633458" w:rsidRPr="00633458" w:rsidRDefault="00633458" w:rsidP="00633458">
      <w:pPr>
        <w:pStyle w:val="ListParagraph"/>
        <w:numPr>
          <w:ilvl w:val="0"/>
          <w:numId w:val="5"/>
        </w:numPr>
        <w:rPr>
          <w:color w:val="1F4E79" w:themeColor="accent1" w:themeShade="80"/>
          <w:sz w:val="24"/>
          <w:szCs w:val="24"/>
        </w:rPr>
      </w:pPr>
      <w:r w:rsidRPr="00633458">
        <w:rPr>
          <w:color w:val="1F4E79" w:themeColor="accent1" w:themeShade="80"/>
          <w:sz w:val="24"/>
          <w:szCs w:val="24"/>
        </w:rPr>
        <w:t>The type of illnesses you can develop after 10 to 20 years of regularly drinking more than 14 units a week include:</w:t>
      </w:r>
    </w:p>
    <w:p w14:paraId="6AFDB0A8" w14:textId="77777777" w:rsidR="00633458" w:rsidRPr="00633458" w:rsidRDefault="00633458" w:rsidP="00633458">
      <w:pPr>
        <w:pStyle w:val="ListParagraph"/>
        <w:numPr>
          <w:ilvl w:val="0"/>
          <w:numId w:val="6"/>
        </w:numPr>
        <w:rPr>
          <w:color w:val="1F4E79" w:themeColor="accent1" w:themeShade="80"/>
          <w:sz w:val="24"/>
          <w:szCs w:val="24"/>
        </w:rPr>
      </w:pPr>
      <w:r w:rsidRPr="00633458">
        <w:rPr>
          <w:color w:val="1F4E79" w:themeColor="accent1" w:themeShade="80"/>
          <w:sz w:val="24"/>
          <w:szCs w:val="24"/>
        </w:rPr>
        <w:t>cancers of the mouth, throat and breast</w:t>
      </w:r>
    </w:p>
    <w:p w14:paraId="216F0B2E" w14:textId="77777777" w:rsidR="00633458" w:rsidRPr="00633458" w:rsidRDefault="00633458" w:rsidP="00633458">
      <w:pPr>
        <w:pStyle w:val="ListParagraph"/>
        <w:numPr>
          <w:ilvl w:val="0"/>
          <w:numId w:val="6"/>
        </w:numPr>
        <w:rPr>
          <w:color w:val="1F4E79" w:themeColor="accent1" w:themeShade="80"/>
          <w:sz w:val="24"/>
          <w:szCs w:val="24"/>
        </w:rPr>
      </w:pPr>
      <w:r w:rsidRPr="00633458">
        <w:rPr>
          <w:color w:val="1F4E79" w:themeColor="accent1" w:themeShade="80"/>
          <w:sz w:val="24"/>
          <w:szCs w:val="24"/>
        </w:rPr>
        <w:t>stroke</w:t>
      </w:r>
    </w:p>
    <w:p w14:paraId="3C0C97C9" w14:textId="77777777" w:rsidR="00633458" w:rsidRPr="00633458" w:rsidRDefault="00633458" w:rsidP="00633458">
      <w:pPr>
        <w:pStyle w:val="ListParagraph"/>
        <w:numPr>
          <w:ilvl w:val="0"/>
          <w:numId w:val="6"/>
        </w:numPr>
        <w:rPr>
          <w:color w:val="1F4E79" w:themeColor="accent1" w:themeShade="80"/>
          <w:sz w:val="24"/>
          <w:szCs w:val="24"/>
        </w:rPr>
      </w:pPr>
      <w:r w:rsidRPr="00633458">
        <w:rPr>
          <w:color w:val="1F4E79" w:themeColor="accent1" w:themeShade="80"/>
          <w:sz w:val="24"/>
          <w:szCs w:val="24"/>
        </w:rPr>
        <w:t>heart disease</w:t>
      </w:r>
    </w:p>
    <w:p w14:paraId="4A27DD13" w14:textId="77777777" w:rsidR="00633458" w:rsidRPr="00633458" w:rsidRDefault="00633458" w:rsidP="00633458">
      <w:pPr>
        <w:pStyle w:val="ListParagraph"/>
        <w:numPr>
          <w:ilvl w:val="0"/>
          <w:numId w:val="6"/>
        </w:numPr>
        <w:rPr>
          <w:color w:val="1F4E79" w:themeColor="accent1" w:themeShade="80"/>
          <w:sz w:val="24"/>
          <w:szCs w:val="24"/>
        </w:rPr>
      </w:pPr>
      <w:r w:rsidRPr="00633458">
        <w:rPr>
          <w:color w:val="1F4E79" w:themeColor="accent1" w:themeShade="80"/>
          <w:sz w:val="24"/>
          <w:szCs w:val="24"/>
        </w:rPr>
        <w:t>liver disease</w:t>
      </w:r>
    </w:p>
    <w:p w14:paraId="765900AF" w14:textId="77777777" w:rsidR="00633458" w:rsidRPr="00633458" w:rsidRDefault="00633458" w:rsidP="00633458">
      <w:pPr>
        <w:pStyle w:val="ListParagraph"/>
        <w:numPr>
          <w:ilvl w:val="0"/>
          <w:numId w:val="6"/>
        </w:numPr>
        <w:rPr>
          <w:color w:val="1F4E79" w:themeColor="accent1" w:themeShade="80"/>
          <w:sz w:val="24"/>
          <w:szCs w:val="24"/>
        </w:rPr>
      </w:pPr>
      <w:r w:rsidRPr="00633458">
        <w:rPr>
          <w:color w:val="1F4E79" w:themeColor="accent1" w:themeShade="80"/>
          <w:sz w:val="24"/>
          <w:szCs w:val="24"/>
        </w:rPr>
        <w:t>brain damage</w:t>
      </w:r>
    </w:p>
    <w:p w14:paraId="4F7C3129" w14:textId="09FBF49E" w:rsidR="00633458" w:rsidRPr="00633458" w:rsidRDefault="00633458" w:rsidP="00633458">
      <w:pPr>
        <w:pStyle w:val="ListParagraph"/>
        <w:numPr>
          <w:ilvl w:val="0"/>
          <w:numId w:val="6"/>
        </w:numPr>
        <w:rPr>
          <w:color w:val="1F4E79" w:themeColor="accent1" w:themeShade="80"/>
          <w:sz w:val="24"/>
          <w:szCs w:val="24"/>
        </w:rPr>
      </w:pPr>
      <w:r w:rsidRPr="00633458">
        <w:rPr>
          <w:color w:val="1F4E79" w:themeColor="accent1" w:themeShade="80"/>
          <w:sz w:val="24"/>
          <w:szCs w:val="24"/>
        </w:rPr>
        <w:t>damage to the nervous system</w:t>
      </w:r>
    </w:p>
    <w:p w14:paraId="4A1DCBBA" w14:textId="24A537DE" w:rsidR="00633458" w:rsidRPr="00633458" w:rsidRDefault="00633458" w:rsidP="00633458">
      <w:pPr>
        <w:pStyle w:val="ListParagraph"/>
        <w:numPr>
          <w:ilvl w:val="0"/>
          <w:numId w:val="6"/>
        </w:numPr>
        <w:rPr>
          <w:color w:val="1F4E79" w:themeColor="accent1" w:themeShade="80"/>
          <w:sz w:val="24"/>
          <w:szCs w:val="24"/>
        </w:rPr>
      </w:pPr>
      <w:r w:rsidRPr="00633458">
        <w:rPr>
          <w:color w:val="1F4E79" w:themeColor="accent1" w:themeShade="80"/>
          <w:sz w:val="24"/>
          <w:szCs w:val="24"/>
        </w:rPr>
        <w:t>There's also evidence that regular drinking at high-risk levels can make your mental health worse.</w:t>
      </w:r>
    </w:p>
    <w:p w14:paraId="7545860C" w14:textId="344900E5" w:rsidR="00712E9F" w:rsidRDefault="00633458" w:rsidP="00FE2EE9">
      <w:pPr>
        <w:rPr>
          <w:color w:val="1F4E79" w:themeColor="accent1" w:themeShade="80"/>
          <w:sz w:val="24"/>
          <w:szCs w:val="24"/>
        </w:rPr>
      </w:pPr>
      <w:r w:rsidRPr="00633458">
        <w:rPr>
          <w:color w:val="1F4E79" w:themeColor="accent1" w:themeShade="80"/>
          <w:sz w:val="24"/>
          <w:szCs w:val="24"/>
        </w:rPr>
        <w:t>The effects of alcohol on your health will depend on how much you drink. The less you drink, the lower the health risks.</w:t>
      </w:r>
      <w:r>
        <w:rPr>
          <w:rStyle w:val="FootnoteReference"/>
          <w:color w:val="1F4E79" w:themeColor="accent1" w:themeShade="80"/>
          <w:sz w:val="24"/>
          <w:szCs w:val="24"/>
        </w:rPr>
        <w:footnoteReference w:id="1"/>
      </w:r>
    </w:p>
    <w:p w14:paraId="06D78F82" w14:textId="3391A5E0" w:rsidR="00712E9F" w:rsidRPr="00DB7C84" w:rsidRDefault="00712E9F" w:rsidP="00FE2EE9">
      <w:pPr>
        <w:rPr>
          <w:color w:val="1F497D"/>
        </w:rPr>
      </w:pPr>
      <w:r>
        <w:rPr>
          <w:color w:val="1F4E79" w:themeColor="accent1" w:themeShade="80"/>
          <w:sz w:val="24"/>
          <w:szCs w:val="24"/>
        </w:rPr>
        <w:t xml:space="preserve">The </w:t>
      </w:r>
      <w:hyperlink r:id="rId9" w:history="1">
        <w:r w:rsidRPr="0010205A">
          <w:rPr>
            <w:rStyle w:val="Hyperlink"/>
            <w:sz w:val="24"/>
            <w:szCs w:val="24"/>
          </w:rPr>
          <w:t>www.drugsandalcoholni.info</w:t>
        </w:r>
      </w:hyperlink>
      <w:r>
        <w:rPr>
          <w:color w:val="1F4E79" w:themeColor="accent1" w:themeShade="80"/>
          <w:sz w:val="24"/>
          <w:szCs w:val="24"/>
        </w:rPr>
        <w:t xml:space="preserve"> website is full of information and support including an anonymous alcohol test to help you determine the impact that alcohol may be having on your health and wellbeing.  Click the image below to take the test.</w:t>
      </w:r>
      <w:r w:rsidR="00DB7C84">
        <w:rPr>
          <w:color w:val="1F4E79" w:themeColor="accent1" w:themeShade="80"/>
          <w:sz w:val="24"/>
          <w:szCs w:val="24"/>
        </w:rPr>
        <w:t xml:space="preserve">  You can also visit </w:t>
      </w:r>
      <w:hyperlink r:id="rId10" w:history="1">
        <w:r w:rsidR="00DB7C84">
          <w:rPr>
            <w:rStyle w:val="Hyperlink"/>
          </w:rPr>
          <w:t>B Well Positive Choices Alcohol</w:t>
        </w:r>
      </w:hyperlink>
      <w:r w:rsidR="00DB7C84">
        <w:rPr>
          <w:color w:val="1F497D"/>
        </w:rPr>
        <w:t xml:space="preserve"> for information including a unit calculator. </w:t>
      </w:r>
    </w:p>
    <w:p w14:paraId="51FFD386" w14:textId="14F9B1B7" w:rsidR="001C2607" w:rsidRDefault="00712E9F" w:rsidP="00633458">
      <w:pPr>
        <w:rPr>
          <w:color w:val="1F4E79" w:themeColor="accent1" w:themeShade="80"/>
          <w:sz w:val="24"/>
          <w:szCs w:val="24"/>
        </w:rPr>
      </w:pPr>
      <w:r>
        <w:rPr>
          <w:noProof/>
          <w:color w:val="1F4E79" w:themeColor="accent1" w:themeShade="80"/>
          <w:sz w:val="24"/>
          <w:szCs w:val="24"/>
          <w:lang w:eastAsia="en-GB"/>
        </w:rPr>
        <w:drawing>
          <wp:inline distT="0" distB="0" distL="0" distR="0" wp14:anchorId="66A60C3C" wp14:editId="4352F433">
            <wp:extent cx="3667125" cy="2750519"/>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t-980x73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10349" cy="2782939"/>
                    </a:xfrm>
                    <a:prstGeom prst="rect">
                      <a:avLst/>
                    </a:prstGeom>
                  </pic:spPr>
                </pic:pic>
              </a:graphicData>
            </a:graphic>
          </wp:inline>
        </w:drawing>
      </w:r>
    </w:p>
    <w:p w14:paraId="4A23781F" w14:textId="2BBB6D57" w:rsidR="00DB7C84" w:rsidRPr="00633458" w:rsidRDefault="00DB7C84" w:rsidP="00633458">
      <w:pPr>
        <w:rPr>
          <w:color w:val="1F4E79" w:themeColor="accent1" w:themeShade="80"/>
          <w:sz w:val="24"/>
          <w:szCs w:val="24"/>
        </w:rPr>
      </w:pPr>
    </w:p>
    <w:sectPr w:rsidR="00DB7C84" w:rsidRPr="00633458" w:rsidSect="009560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FBA79" w14:textId="77777777" w:rsidR="00633458" w:rsidRDefault="00633458" w:rsidP="00633458">
      <w:pPr>
        <w:spacing w:after="0" w:line="240" w:lineRule="auto"/>
      </w:pPr>
      <w:r>
        <w:separator/>
      </w:r>
    </w:p>
  </w:endnote>
  <w:endnote w:type="continuationSeparator" w:id="0">
    <w:p w14:paraId="12EB1D70" w14:textId="77777777" w:rsidR="00633458" w:rsidRDefault="00633458" w:rsidP="0063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78B43" w14:textId="77777777" w:rsidR="00633458" w:rsidRDefault="00633458" w:rsidP="00633458">
      <w:pPr>
        <w:spacing w:after="0" w:line="240" w:lineRule="auto"/>
      </w:pPr>
      <w:r>
        <w:separator/>
      </w:r>
    </w:p>
  </w:footnote>
  <w:footnote w:type="continuationSeparator" w:id="0">
    <w:p w14:paraId="1EB73FFE" w14:textId="77777777" w:rsidR="00633458" w:rsidRDefault="00633458" w:rsidP="00633458">
      <w:pPr>
        <w:spacing w:after="0" w:line="240" w:lineRule="auto"/>
      </w:pPr>
      <w:r>
        <w:continuationSeparator/>
      </w:r>
    </w:p>
  </w:footnote>
  <w:footnote w:id="1">
    <w:p w14:paraId="69F41BB4" w14:textId="21EE2DA8" w:rsidR="00633458" w:rsidRDefault="00633458">
      <w:pPr>
        <w:pStyle w:val="FootnoteText"/>
      </w:pPr>
      <w:r>
        <w:rPr>
          <w:rStyle w:val="FootnoteReference"/>
        </w:rPr>
        <w:footnoteRef/>
      </w:r>
      <w:r>
        <w:t xml:space="preserve"> </w:t>
      </w:r>
      <w:hyperlink r:id="rId1" w:history="1">
        <w:r w:rsidRPr="0010205A">
          <w:rPr>
            <w:rStyle w:val="Hyperlink"/>
          </w:rPr>
          <w:t>https://www.nhs.uk/live-well/alcohol-support/the-risks-of-drinking-too-much/</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A91"/>
    <w:multiLevelType w:val="hybridMultilevel"/>
    <w:tmpl w:val="63FE6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88A4E55"/>
    <w:multiLevelType w:val="hybridMultilevel"/>
    <w:tmpl w:val="A0E8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B2FD4"/>
    <w:multiLevelType w:val="hybridMultilevel"/>
    <w:tmpl w:val="07EC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35476"/>
    <w:multiLevelType w:val="hybridMultilevel"/>
    <w:tmpl w:val="EF2282C4"/>
    <w:lvl w:ilvl="0" w:tplc="37C4AE48">
      <w:start w:val="1"/>
      <w:numFmt w:val="bullet"/>
      <w:lvlText w:val="-"/>
      <w:lvlJc w:val="left"/>
      <w:pPr>
        <w:ind w:left="720" w:hanging="360"/>
      </w:pPr>
      <w:rPr>
        <w:rFonts w:ascii="Calibri" w:hAnsi="Calibri" w:hint="default"/>
      </w:rPr>
    </w:lvl>
    <w:lvl w:ilvl="1" w:tplc="B53AE0C0">
      <w:start w:val="1"/>
      <w:numFmt w:val="bullet"/>
      <w:lvlText w:val="o"/>
      <w:lvlJc w:val="left"/>
      <w:pPr>
        <w:ind w:left="1440" w:hanging="360"/>
      </w:pPr>
      <w:rPr>
        <w:rFonts w:ascii="Courier New" w:hAnsi="Courier New" w:hint="default"/>
      </w:rPr>
    </w:lvl>
    <w:lvl w:ilvl="2" w:tplc="B8FE7D14">
      <w:start w:val="1"/>
      <w:numFmt w:val="bullet"/>
      <w:lvlText w:val=""/>
      <w:lvlJc w:val="left"/>
      <w:pPr>
        <w:ind w:left="2160" w:hanging="360"/>
      </w:pPr>
      <w:rPr>
        <w:rFonts w:ascii="Wingdings" w:hAnsi="Wingdings" w:hint="default"/>
      </w:rPr>
    </w:lvl>
    <w:lvl w:ilvl="3" w:tplc="D1809A46">
      <w:start w:val="1"/>
      <w:numFmt w:val="bullet"/>
      <w:lvlText w:val=""/>
      <w:lvlJc w:val="left"/>
      <w:pPr>
        <w:ind w:left="2880" w:hanging="360"/>
      </w:pPr>
      <w:rPr>
        <w:rFonts w:ascii="Symbol" w:hAnsi="Symbol" w:hint="default"/>
      </w:rPr>
    </w:lvl>
    <w:lvl w:ilvl="4" w:tplc="EF74DDA8">
      <w:start w:val="1"/>
      <w:numFmt w:val="bullet"/>
      <w:lvlText w:val="o"/>
      <w:lvlJc w:val="left"/>
      <w:pPr>
        <w:ind w:left="3600" w:hanging="360"/>
      </w:pPr>
      <w:rPr>
        <w:rFonts w:ascii="Courier New" w:hAnsi="Courier New" w:hint="default"/>
      </w:rPr>
    </w:lvl>
    <w:lvl w:ilvl="5" w:tplc="FC666002">
      <w:start w:val="1"/>
      <w:numFmt w:val="bullet"/>
      <w:lvlText w:val=""/>
      <w:lvlJc w:val="left"/>
      <w:pPr>
        <w:ind w:left="4320" w:hanging="360"/>
      </w:pPr>
      <w:rPr>
        <w:rFonts w:ascii="Wingdings" w:hAnsi="Wingdings" w:hint="default"/>
      </w:rPr>
    </w:lvl>
    <w:lvl w:ilvl="6" w:tplc="A262F16E">
      <w:start w:val="1"/>
      <w:numFmt w:val="bullet"/>
      <w:lvlText w:val=""/>
      <w:lvlJc w:val="left"/>
      <w:pPr>
        <w:ind w:left="5040" w:hanging="360"/>
      </w:pPr>
      <w:rPr>
        <w:rFonts w:ascii="Symbol" w:hAnsi="Symbol" w:hint="default"/>
      </w:rPr>
    </w:lvl>
    <w:lvl w:ilvl="7" w:tplc="B3D6CD7A">
      <w:start w:val="1"/>
      <w:numFmt w:val="bullet"/>
      <w:lvlText w:val="o"/>
      <w:lvlJc w:val="left"/>
      <w:pPr>
        <w:ind w:left="5760" w:hanging="360"/>
      </w:pPr>
      <w:rPr>
        <w:rFonts w:ascii="Courier New" w:hAnsi="Courier New" w:hint="default"/>
      </w:rPr>
    </w:lvl>
    <w:lvl w:ilvl="8" w:tplc="48EE250A">
      <w:start w:val="1"/>
      <w:numFmt w:val="bullet"/>
      <w:lvlText w:val=""/>
      <w:lvlJc w:val="left"/>
      <w:pPr>
        <w:ind w:left="6480" w:hanging="360"/>
      </w:pPr>
      <w:rPr>
        <w:rFonts w:ascii="Wingdings" w:hAnsi="Wingdings" w:hint="default"/>
      </w:rPr>
    </w:lvl>
  </w:abstractNum>
  <w:abstractNum w:abstractNumId="4" w15:restartNumberingAfterBreak="0">
    <w:nsid w:val="519A58FA"/>
    <w:multiLevelType w:val="hybridMultilevel"/>
    <w:tmpl w:val="53D2117E"/>
    <w:lvl w:ilvl="0" w:tplc="98DCA7A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F4D1273"/>
    <w:multiLevelType w:val="hybridMultilevel"/>
    <w:tmpl w:val="2006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A3"/>
    <w:rsid w:val="00015B45"/>
    <w:rsid w:val="000A5612"/>
    <w:rsid w:val="00197C10"/>
    <w:rsid w:val="001C2607"/>
    <w:rsid w:val="00383D60"/>
    <w:rsid w:val="00436383"/>
    <w:rsid w:val="005079B2"/>
    <w:rsid w:val="0051064A"/>
    <w:rsid w:val="005E316A"/>
    <w:rsid w:val="00633458"/>
    <w:rsid w:val="006B5AF0"/>
    <w:rsid w:val="00703B5E"/>
    <w:rsid w:val="00712E9F"/>
    <w:rsid w:val="008007A3"/>
    <w:rsid w:val="008844F6"/>
    <w:rsid w:val="008C398F"/>
    <w:rsid w:val="009525FB"/>
    <w:rsid w:val="009560AC"/>
    <w:rsid w:val="0097103C"/>
    <w:rsid w:val="00A2569B"/>
    <w:rsid w:val="00A3357B"/>
    <w:rsid w:val="00A40248"/>
    <w:rsid w:val="00A57DC4"/>
    <w:rsid w:val="00A902D6"/>
    <w:rsid w:val="00AA6C2F"/>
    <w:rsid w:val="00B12749"/>
    <w:rsid w:val="00B2467F"/>
    <w:rsid w:val="00BD08D6"/>
    <w:rsid w:val="00CA6B8F"/>
    <w:rsid w:val="00DB1F5B"/>
    <w:rsid w:val="00DB7C84"/>
    <w:rsid w:val="00E8741F"/>
    <w:rsid w:val="00EC6A29"/>
    <w:rsid w:val="00FB2462"/>
    <w:rsid w:val="00FE2EE9"/>
    <w:rsid w:val="01F953A2"/>
    <w:rsid w:val="04CCEB90"/>
    <w:rsid w:val="04E2BB12"/>
    <w:rsid w:val="0592B606"/>
    <w:rsid w:val="0875B899"/>
    <w:rsid w:val="0A1188FA"/>
    <w:rsid w:val="0C5AE7D7"/>
    <w:rsid w:val="0EBC9C79"/>
    <w:rsid w:val="0F6500C5"/>
    <w:rsid w:val="11CED986"/>
    <w:rsid w:val="152D653D"/>
    <w:rsid w:val="1F763321"/>
    <w:rsid w:val="2814A672"/>
    <w:rsid w:val="2A4199CC"/>
    <w:rsid w:val="346BDE2B"/>
    <w:rsid w:val="351BD91F"/>
    <w:rsid w:val="3B4B4FCB"/>
    <w:rsid w:val="3FE182A1"/>
    <w:rsid w:val="426002CB"/>
    <w:rsid w:val="474F6C41"/>
    <w:rsid w:val="48875894"/>
    <w:rsid w:val="5750C51E"/>
    <w:rsid w:val="597D9631"/>
    <w:rsid w:val="5B955130"/>
    <w:rsid w:val="5C78D470"/>
    <w:rsid w:val="621AEB7D"/>
    <w:rsid w:val="6F8EEC68"/>
    <w:rsid w:val="71214C1E"/>
    <w:rsid w:val="7A3E181F"/>
    <w:rsid w:val="7DA0CC7D"/>
    <w:rsid w:val="7F815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1328EF"/>
  <w15:chartTrackingRefBased/>
  <w15:docId w15:val="{A94D3CDD-4D60-4924-B8A7-71A03759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7A3"/>
    <w:pPr>
      <w:ind w:left="720"/>
      <w:contextualSpacing/>
    </w:pPr>
  </w:style>
  <w:style w:type="character" w:styleId="Hyperlink">
    <w:name w:val="Hyperlink"/>
    <w:basedOn w:val="DefaultParagraphFont"/>
    <w:uiPriority w:val="99"/>
    <w:unhideWhenUsed/>
    <w:rsid w:val="008007A3"/>
    <w:rPr>
      <w:color w:val="0563C1" w:themeColor="hyperlink"/>
      <w:u w:val="single"/>
    </w:rPr>
  </w:style>
  <w:style w:type="character" w:styleId="CommentReference">
    <w:name w:val="annotation reference"/>
    <w:basedOn w:val="DefaultParagraphFont"/>
    <w:uiPriority w:val="99"/>
    <w:semiHidden/>
    <w:unhideWhenUsed/>
    <w:rsid w:val="00E8741F"/>
    <w:rPr>
      <w:sz w:val="16"/>
      <w:szCs w:val="16"/>
    </w:rPr>
  </w:style>
  <w:style w:type="paragraph" w:styleId="CommentText">
    <w:name w:val="annotation text"/>
    <w:basedOn w:val="Normal"/>
    <w:link w:val="CommentTextChar"/>
    <w:uiPriority w:val="99"/>
    <w:semiHidden/>
    <w:unhideWhenUsed/>
    <w:rsid w:val="00E8741F"/>
    <w:pPr>
      <w:spacing w:line="240" w:lineRule="auto"/>
    </w:pPr>
    <w:rPr>
      <w:sz w:val="20"/>
      <w:szCs w:val="20"/>
    </w:rPr>
  </w:style>
  <w:style w:type="character" w:customStyle="1" w:styleId="CommentTextChar">
    <w:name w:val="Comment Text Char"/>
    <w:basedOn w:val="DefaultParagraphFont"/>
    <w:link w:val="CommentText"/>
    <w:uiPriority w:val="99"/>
    <w:semiHidden/>
    <w:rsid w:val="00E8741F"/>
    <w:rPr>
      <w:sz w:val="20"/>
      <w:szCs w:val="20"/>
    </w:rPr>
  </w:style>
  <w:style w:type="paragraph" w:styleId="CommentSubject">
    <w:name w:val="annotation subject"/>
    <w:basedOn w:val="CommentText"/>
    <w:next w:val="CommentText"/>
    <w:link w:val="CommentSubjectChar"/>
    <w:uiPriority w:val="99"/>
    <w:semiHidden/>
    <w:unhideWhenUsed/>
    <w:rsid w:val="00E8741F"/>
    <w:rPr>
      <w:b/>
      <w:bCs/>
    </w:rPr>
  </w:style>
  <w:style w:type="character" w:customStyle="1" w:styleId="CommentSubjectChar">
    <w:name w:val="Comment Subject Char"/>
    <w:basedOn w:val="CommentTextChar"/>
    <w:link w:val="CommentSubject"/>
    <w:uiPriority w:val="99"/>
    <w:semiHidden/>
    <w:rsid w:val="00E8741F"/>
    <w:rPr>
      <w:b/>
      <w:bCs/>
      <w:sz w:val="20"/>
      <w:szCs w:val="20"/>
    </w:rPr>
  </w:style>
  <w:style w:type="paragraph" w:styleId="BalloonText">
    <w:name w:val="Balloon Text"/>
    <w:basedOn w:val="Normal"/>
    <w:link w:val="BalloonTextChar"/>
    <w:uiPriority w:val="99"/>
    <w:semiHidden/>
    <w:unhideWhenUsed/>
    <w:rsid w:val="00E87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1F"/>
    <w:rPr>
      <w:rFonts w:ascii="Segoe UI" w:hAnsi="Segoe UI" w:cs="Segoe UI"/>
      <w:sz w:val="18"/>
      <w:szCs w:val="18"/>
    </w:rPr>
  </w:style>
  <w:style w:type="character" w:styleId="FollowedHyperlink">
    <w:name w:val="FollowedHyperlink"/>
    <w:basedOn w:val="DefaultParagraphFont"/>
    <w:uiPriority w:val="99"/>
    <w:semiHidden/>
    <w:unhideWhenUsed/>
    <w:rsid w:val="0051064A"/>
    <w:rPr>
      <w:color w:val="954F72" w:themeColor="followedHyperlink"/>
      <w:u w:val="single"/>
    </w:rPr>
  </w:style>
  <w:style w:type="paragraph" w:styleId="FootnoteText">
    <w:name w:val="footnote text"/>
    <w:basedOn w:val="Normal"/>
    <w:link w:val="FootnoteTextChar"/>
    <w:uiPriority w:val="99"/>
    <w:semiHidden/>
    <w:unhideWhenUsed/>
    <w:rsid w:val="00633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458"/>
    <w:rPr>
      <w:sz w:val="20"/>
      <w:szCs w:val="20"/>
    </w:rPr>
  </w:style>
  <w:style w:type="character" w:styleId="FootnoteReference">
    <w:name w:val="footnote reference"/>
    <w:basedOn w:val="DefaultParagraphFont"/>
    <w:uiPriority w:val="99"/>
    <w:semiHidden/>
    <w:unhideWhenUsed/>
    <w:rsid w:val="006334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4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ugsandalcoholni.info/audit/story_html5.html" TargetMode="External"/><Relationship Id="rId5" Type="http://schemas.openxmlformats.org/officeDocument/2006/relationships/webSettings" Target="webSettings.xml"/><Relationship Id="rId10" Type="http://schemas.openxmlformats.org/officeDocument/2006/relationships/hyperlink" Target="https://bwellbelfast.hscni.net/positive-choices/alcohol-other-drugs/" TargetMode="External"/><Relationship Id="rId4" Type="http://schemas.openxmlformats.org/officeDocument/2006/relationships/settings" Target="settings.xml"/><Relationship Id="rId9" Type="http://schemas.openxmlformats.org/officeDocument/2006/relationships/hyperlink" Target="http://www.drugsandalcoholni.inf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hs.uk/live-well/alcohol-support/the-risks-of-drinking-too-m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C7C3A-B148-49C6-B994-B2A29CDE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Meenan, Fiona</dc:creator>
  <cp:keywords/>
  <dc:description/>
  <cp:lastModifiedBy>Flynn, Clare</cp:lastModifiedBy>
  <cp:revision>6</cp:revision>
  <dcterms:created xsi:type="dcterms:W3CDTF">2021-10-15T16:28:00Z</dcterms:created>
  <dcterms:modified xsi:type="dcterms:W3CDTF">2021-10-20T07:42:00Z</dcterms:modified>
</cp:coreProperties>
</file>